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A881A" w14:textId="0126E121" w:rsidR="007D269F" w:rsidRPr="00283222" w:rsidRDefault="00283222" w:rsidP="00283222">
      <w:pPr>
        <w:rPr>
          <w:lang w:val="it-IT"/>
        </w:rPr>
      </w:pPr>
      <w:r w:rsidRPr="00283222">
        <w:rPr>
          <w:lang w:val="it-IT"/>
        </w:rPr>
        <w:t>L’attività sarà mirata allo sviluppo di metodi di modellazione di reattori multi-tubolari per la messa a punto di strumenti di simulazione da adottare a supporto della progettazione e del passaggio di scala. Il risultato finale sarà un modello in grado di prevedere l’effetto della geometria e delle condizioni operative sulla produzione di metano e sull’efficienza dello scambio termico in una porzione rappresentativa di un reattore multi-tubolare.</w:t>
      </w:r>
      <w:r>
        <w:rPr>
          <w:lang w:val="it-IT"/>
        </w:rPr>
        <w:t xml:space="preserve"> </w:t>
      </w:r>
      <w:r w:rsidRPr="00283222">
        <w:rPr>
          <w:lang w:val="it-IT"/>
        </w:rPr>
        <w:t xml:space="preserve">Il progetto verrà sviluppato con l’impiego del </w:t>
      </w:r>
      <w:r>
        <w:rPr>
          <w:lang w:val="it-IT"/>
        </w:rPr>
        <w:t xml:space="preserve">un </w:t>
      </w:r>
      <w:r w:rsidRPr="00283222">
        <w:rPr>
          <w:lang w:val="it-IT"/>
        </w:rPr>
        <w:t>codice di fluidodinamica computazionale (CFD</w:t>
      </w:r>
      <w:r>
        <w:rPr>
          <w:lang w:val="it-IT"/>
        </w:rPr>
        <w:t>)</w:t>
      </w:r>
      <w:r w:rsidRPr="00283222">
        <w:rPr>
          <w:lang w:val="it-IT"/>
        </w:rPr>
        <w:t>. Per il lato reattore, si implementerà la cinetica chimica della reazione di interesse e si punterà l’attenzione sulla capacità di predire gli effetti dell’interazione tra cinetica chimica e fluidodinamica locale. Per il lato shell verranno analizzati diversi modelli di ebollizione e dinamica delle bolle e sarà identificato quello che garantisce il miglior equilibrio tra accuratezza e onerosità computazionale, al fine di prevedere lo scambio termico e l’evoluzione del fluido refrigerante.</w:t>
      </w:r>
    </w:p>
    <w:sectPr w:rsidR="007D269F" w:rsidRPr="002832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222"/>
    <w:rsid w:val="001715A6"/>
    <w:rsid w:val="00283222"/>
    <w:rsid w:val="007D269F"/>
    <w:rsid w:val="00EF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C106C"/>
  <w15:chartTrackingRefBased/>
  <w15:docId w15:val="{5590A736-13B8-41C1-8214-3F8E091DF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886</Characters>
  <Application>Microsoft Office Word</Application>
  <DocSecurity>0</DocSecurity>
  <Lines>7</Lines>
  <Paragraphs>2</Paragraphs>
  <ScaleCrop>false</ScaleCrop>
  <Company>Alma Mater Studiorum - Universita di Bologna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Montante</dc:creator>
  <cp:keywords/>
  <dc:description/>
  <cp:lastModifiedBy>Giuseppina Montante</cp:lastModifiedBy>
  <cp:revision>1</cp:revision>
  <dcterms:created xsi:type="dcterms:W3CDTF">2026-08-25T12:05:00Z</dcterms:created>
  <dcterms:modified xsi:type="dcterms:W3CDTF">2026-08-25T12:08:00Z</dcterms:modified>
</cp:coreProperties>
</file>